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26C0A" w14:textId="2B69D38F" w:rsidR="001201EF" w:rsidRPr="00BC137E" w:rsidRDefault="00E15573" w:rsidP="00314595">
      <w:pPr>
        <w:pStyle w:val="NormalnyWeb"/>
        <w:kinsoku w:val="0"/>
        <w:overflowPunct w:val="0"/>
        <w:spacing w:before="360" w:before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W związku z ubieganiem się ...............................................</w:t>
      </w:r>
      <w:r w:rsidRPr="00BC137E">
        <w:rPr>
          <w:rFonts w:ascii="Open Sans" w:hAnsi="Open Sans" w:cs="Open Sans"/>
          <w:i/>
          <w:iCs/>
          <w:sz w:val="20"/>
          <w:szCs w:val="20"/>
        </w:rPr>
        <w:t xml:space="preserve"> (nazwa </w:t>
      </w:r>
      <w:r w:rsidR="004240B4" w:rsidRPr="00BC137E">
        <w:rPr>
          <w:rFonts w:ascii="Open Sans" w:hAnsi="Open Sans" w:cs="Open Sans"/>
          <w:i/>
          <w:iCs/>
          <w:sz w:val="20"/>
          <w:szCs w:val="20"/>
        </w:rPr>
        <w:t>Wnioskodawcy</w:t>
      </w:r>
      <w:r w:rsidRPr="00BC137E">
        <w:rPr>
          <w:rFonts w:ascii="Open Sans" w:hAnsi="Open Sans" w:cs="Open Sans"/>
          <w:i/>
          <w:iCs/>
          <w:sz w:val="20"/>
          <w:szCs w:val="20"/>
        </w:rPr>
        <w:t>)</w:t>
      </w:r>
      <w:r w:rsidRPr="00BC137E">
        <w:rPr>
          <w:rFonts w:ascii="Open Sans" w:hAnsi="Open Sans" w:cs="Open Sans"/>
          <w:sz w:val="20"/>
          <w:szCs w:val="20"/>
        </w:rPr>
        <w:t xml:space="preserve"> o przyznanie dofinansowania </w:t>
      </w:r>
      <w:r w:rsidR="001201EF" w:rsidRPr="00BC137E">
        <w:rPr>
          <w:rFonts w:ascii="Open Sans" w:hAnsi="Open Sans" w:cs="Open Sans"/>
          <w:sz w:val="20"/>
          <w:szCs w:val="20"/>
        </w:rPr>
        <w:t xml:space="preserve">ze środków </w:t>
      </w:r>
      <w:r w:rsidR="001816BA" w:rsidRPr="00BC137E">
        <w:rPr>
          <w:rFonts w:ascii="Open Sans" w:hAnsi="Open Sans" w:cs="Open Sans"/>
          <w:sz w:val="20"/>
          <w:szCs w:val="20"/>
        </w:rPr>
        <w:t xml:space="preserve">Wniosek o dofinansowanie dla Programu Priorytetowego – </w:t>
      </w:r>
      <w:r w:rsidR="0004619B">
        <w:rPr>
          <w:rFonts w:ascii="Open Sans" w:hAnsi="Open Sans" w:cs="Open Sans"/>
          <w:sz w:val="20"/>
          <w:szCs w:val="20"/>
        </w:rPr>
        <w:t>1.20</w:t>
      </w:r>
      <w:r w:rsidR="001816BA" w:rsidRPr="00BC137E">
        <w:rPr>
          <w:rFonts w:ascii="Open Sans" w:hAnsi="Open Sans" w:cs="Open Sans"/>
          <w:sz w:val="20"/>
          <w:szCs w:val="20"/>
        </w:rPr>
        <w:t xml:space="preserve"> Współfinansowanie projektów realizowanych w ramach Programu Fundusze Europejskie na Infrastrukturę, Klimat, Środowisko 2021-2027 (</w:t>
      </w:r>
      <w:proofErr w:type="spellStart"/>
      <w:r w:rsidR="001816BA" w:rsidRPr="00BC137E">
        <w:rPr>
          <w:rFonts w:ascii="Open Sans" w:hAnsi="Open Sans" w:cs="Open Sans"/>
          <w:sz w:val="20"/>
          <w:szCs w:val="20"/>
        </w:rPr>
        <w:t>FEnIKS</w:t>
      </w:r>
      <w:proofErr w:type="spellEnd"/>
      <w:r w:rsidR="001816BA" w:rsidRPr="00BC137E">
        <w:rPr>
          <w:rFonts w:ascii="Open Sans" w:hAnsi="Open Sans" w:cs="Open Sans"/>
          <w:sz w:val="20"/>
          <w:szCs w:val="20"/>
        </w:rPr>
        <w:t xml:space="preserve">) Część </w:t>
      </w:r>
      <w:r w:rsidR="0004619B">
        <w:rPr>
          <w:rFonts w:ascii="Open Sans" w:hAnsi="Open Sans" w:cs="Open Sans"/>
          <w:sz w:val="20"/>
          <w:szCs w:val="20"/>
        </w:rPr>
        <w:t>5) Źródła wysokosprawnej kogeneracji</w:t>
      </w:r>
      <w:r w:rsidR="001201EF" w:rsidRPr="00BC137E">
        <w:rPr>
          <w:rFonts w:ascii="Open Sans" w:hAnsi="Open Sans" w:cs="Open Sans"/>
          <w:sz w:val="20"/>
          <w:szCs w:val="20"/>
        </w:rPr>
        <w:t>,</w:t>
      </w:r>
      <w:r w:rsidRPr="00BC137E">
        <w:rPr>
          <w:rFonts w:ascii="Open Sans" w:hAnsi="Open Sans" w:cs="Open Sans"/>
          <w:i/>
          <w:sz w:val="20"/>
          <w:szCs w:val="20"/>
        </w:rPr>
        <w:t xml:space="preserve"> </w:t>
      </w:r>
      <w:r w:rsidRPr="00BC137E">
        <w:rPr>
          <w:rFonts w:ascii="Open Sans" w:hAnsi="Open Sans" w:cs="Open Sans"/>
          <w:sz w:val="20"/>
          <w:szCs w:val="20"/>
        </w:rPr>
        <w:t xml:space="preserve">na realizację projektu </w:t>
      </w:r>
      <w:r w:rsidRPr="00BC137E">
        <w:rPr>
          <w:rFonts w:ascii="Open Sans" w:hAnsi="Open Sans" w:cs="Open Sans"/>
          <w:i/>
          <w:sz w:val="20"/>
          <w:szCs w:val="20"/>
        </w:rPr>
        <w:t xml:space="preserve">………………… (tytuł projektu) (zwanego dalej Projektem), </w:t>
      </w:r>
      <w:r w:rsidRPr="00BC137E">
        <w:rPr>
          <w:rFonts w:ascii="Open Sans" w:hAnsi="Open Sans" w:cs="Open Sans"/>
          <w:sz w:val="20"/>
          <w:szCs w:val="20"/>
        </w:rPr>
        <w:t>o</w:t>
      </w:r>
      <w:r w:rsidR="001201EF" w:rsidRPr="00BC137E">
        <w:rPr>
          <w:rFonts w:ascii="Open Sans" w:hAnsi="Open Sans" w:cs="Open Sans"/>
          <w:sz w:val="20"/>
          <w:szCs w:val="20"/>
        </w:rPr>
        <w:t>świadczamy, że zgodnie z art. 65</w:t>
      </w:r>
      <w:r w:rsidRPr="00BC137E">
        <w:rPr>
          <w:rFonts w:ascii="Open Sans" w:hAnsi="Open Sans" w:cs="Open Sans"/>
          <w:sz w:val="20"/>
          <w:szCs w:val="20"/>
        </w:rPr>
        <w:t xml:space="preserve"> rozporządzenia Parlamentu E</w:t>
      </w:r>
      <w:r w:rsidR="001201EF" w:rsidRPr="00BC137E">
        <w:rPr>
          <w:rFonts w:ascii="Open Sans" w:hAnsi="Open Sans" w:cs="Open Sans"/>
          <w:sz w:val="20"/>
          <w:szCs w:val="20"/>
        </w:rPr>
        <w:t>uropejskiego i Rady (UE) nr 2021/1060:</w:t>
      </w:r>
    </w:p>
    <w:p w14:paraId="123794E0" w14:textId="77777777" w:rsidR="00E15573" w:rsidRPr="00BC137E" w:rsidRDefault="00E15573" w:rsidP="00BC137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Zobowiązujemy się, że w okresie 5 lat/3 lat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1"/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2"/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od płatności końcowej lub w okresie wynikającym ze znajdujących zastosowanie w danym przypadku przepisów o pomocy publicznej: </w:t>
      </w:r>
    </w:p>
    <w:p w14:paraId="795715A9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wnioskodawca nie zaprzestanie działalności produkcyjnej lub nie przeniesie jej poza obszar objęty programem; </w:t>
      </w:r>
    </w:p>
    <w:p w14:paraId="1CE6EEC1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zmiany własności elementu infrastruktury, która przyniesie przedsiębiorstwu lub podmiotowi publicznemu nienależne korzyści; </w:t>
      </w:r>
    </w:p>
    <w:p w14:paraId="62622D6A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istotnej zmiany wpływającej na charakter 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, jej cele lub warunki wdrażania, która mogłaby doprowadzić do naruszenia pierwotnych celów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.</w:t>
      </w:r>
    </w:p>
    <w:p w14:paraId="5B36401A" w14:textId="77777777" w:rsidR="00E15573" w:rsidRPr="00BC137E" w:rsidRDefault="00E15573" w:rsidP="00BE6B08">
      <w:pPr>
        <w:kinsoku w:val="0"/>
        <w:overflowPunct w:val="0"/>
        <w:spacing w:before="960" w:after="0" w:line="276" w:lineRule="auto"/>
        <w:ind w:left="4961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……………………………………………………………..</w:t>
      </w:r>
    </w:p>
    <w:p w14:paraId="4B461730" w14:textId="77777777" w:rsidR="00E15573" w:rsidRPr="00BC137E" w:rsidRDefault="00975DA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P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AF45BEF" w14:textId="77777777" w:rsidR="00E15573" w:rsidRPr="00BC137E" w:rsidRDefault="00E1557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  <w:t>– podpis elektroniczny</w:t>
      </w:r>
    </w:p>
    <w:p w14:paraId="663C7714" w14:textId="77777777" w:rsidR="00E15573" w:rsidRPr="00BC137E" w:rsidRDefault="00E15573" w:rsidP="00314595">
      <w:pPr>
        <w:pStyle w:val="NormalnyWeb"/>
        <w:numPr>
          <w:ilvl w:val="0"/>
          <w:numId w:val="2"/>
        </w:numPr>
        <w:kinsoku w:val="0"/>
        <w:overflowPunct w:val="0"/>
        <w:spacing w:before="36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Zobowiązujemy się, że w okresie 10 lat od płatności końcowej lub w okresie wynikającym ze znajdujących zastosowanie w danym przypadku przepisów o pomocy publicznej, nie dojdzie do przeniesienie działalności produkcyjnej, której dotyczyło </w:t>
      </w:r>
      <w:r w:rsidR="001201EF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dofinansowanie, poza obszar UE.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3"/>
      </w:r>
    </w:p>
    <w:p w14:paraId="7010D9F4" w14:textId="14CD8F21" w:rsidR="00E15573" w:rsidRPr="00BC137E" w:rsidRDefault="0036239B" w:rsidP="00846222">
      <w:pPr>
        <w:kinsoku w:val="0"/>
        <w:overflowPunct w:val="0"/>
        <w:spacing w:before="960" w:after="0" w:line="288" w:lineRule="auto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                                                                                                                ………………………………………</w:t>
      </w:r>
      <w:r w:rsidR="00975DA3" w:rsidRPr="00BC137E">
        <w:rPr>
          <w:rFonts w:ascii="Open Sans" w:hAnsi="Open Sans" w:cs="Open Sans"/>
          <w:sz w:val="20"/>
          <w:szCs w:val="20"/>
        </w:rPr>
        <w:tab/>
        <w:t>……………………………………………………………….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Wnioskodawca</w:t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– podpis elektroniczny</w:t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ab/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P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1866A7D" w14:textId="1C2B7BE5" w:rsidR="00E15573" w:rsidRPr="00BC137E" w:rsidRDefault="0036239B" w:rsidP="00846222">
      <w:pPr>
        <w:kinsoku w:val="0"/>
        <w:overflowPunct w:val="0"/>
        <w:spacing w:after="0" w:line="288" w:lineRule="auto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           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         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– podpis elektroniczny</w:t>
      </w:r>
    </w:p>
    <w:sectPr w:rsidR="00E15573" w:rsidRPr="00BC137E" w:rsidSect="00975DA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DC1E4" w14:textId="77777777" w:rsidR="00895016" w:rsidRDefault="00895016" w:rsidP="00E15573">
      <w:pPr>
        <w:spacing w:after="0" w:line="240" w:lineRule="auto"/>
      </w:pPr>
      <w:r>
        <w:separator/>
      </w:r>
    </w:p>
  </w:endnote>
  <w:endnote w:type="continuationSeparator" w:id="0">
    <w:p w14:paraId="76508DE2" w14:textId="77777777" w:rsidR="00895016" w:rsidRDefault="00895016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5CBD4" w14:textId="77777777" w:rsidR="00895016" w:rsidRDefault="00895016" w:rsidP="00E15573">
      <w:pPr>
        <w:spacing w:after="0" w:line="240" w:lineRule="auto"/>
      </w:pPr>
      <w:r>
        <w:separator/>
      </w:r>
    </w:p>
  </w:footnote>
  <w:footnote w:type="continuationSeparator" w:id="0">
    <w:p w14:paraId="647143B6" w14:textId="77777777" w:rsidR="00895016" w:rsidRDefault="00895016" w:rsidP="00E15573">
      <w:pPr>
        <w:spacing w:after="0" w:line="240" w:lineRule="auto"/>
      </w:pPr>
      <w:r>
        <w:continuationSeparator/>
      </w:r>
    </w:p>
  </w:footnote>
  <w:footnote w:id="1">
    <w:p w14:paraId="43EBFBBB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</w:t>
      </w:r>
      <w:r w:rsidR="001201EF" w:rsidRPr="00BC137E">
        <w:rPr>
          <w:rFonts w:ascii="Open Sans" w:hAnsi="Open Sans" w:cs="Open Sans"/>
          <w:sz w:val="16"/>
          <w:szCs w:val="16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4F250854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3">
    <w:p w14:paraId="5ABD5EB9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0904B" w14:textId="08977BBD" w:rsidR="001816BA" w:rsidRPr="00BC137E" w:rsidRDefault="00975DA3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79CAEBFB" wp14:editId="78CBF7B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16BA" w:rsidRPr="00BC137E">
      <w:rPr>
        <w:rFonts w:ascii="Open Sans" w:hAnsi="Open Sans" w:cs="Open Sans"/>
        <w:sz w:val="18"/>
        <w:szCs w:val="18"/>
      </w:rPr>
      <w:t xml:space="preserve">Wniosek o dofinansowanie dla Programu Priorytetowego – </w:t>
    </w:r>
    <w:r w:rsidR="0004619B">
      <w:rPr>
        <w:rFonts w:ascii="Open Sans" w:hAnsi="Open Sans" w:cs="Open Sans"/>
        <w:sz w:val="18"/>
        <w:szCs w:val="18"/>
      </w:rPr>
      <w:t>1.20</w:t>
    </w:r>
    <w:r w:rsidR="001816BA" w:rsidRPr="00BC137E">
      <w:rPr>
        <w:rFonts w:ascii="Open Sans" w:hAnsi="Open Sans" w:cs="Open Sans"/>
        <w:sz w:val="18"/>
        <w:szCs w:val="18"/>
      </w:rPr>
      <w:t xml:space="preserve"> Współfinansowanie projektów realizowanych w ramach Programu Fundusze Europejskie na Infrastrukturę, Klimat, Środowisko 2021-2027 (</w:t>
    </w:r>
    <w:proofErr w:type="spellStart"/>
    <w:r w:rsidR="001816BA" w:rsidRPr="00BC137E">
      <w:rPr>
        <w:rFonts w:ascii="Open Sans" w:hAnsi="Open Sans" w:cs="Open Sans"/>
        <w:sz w:val="18"/>
        <w:szCs w:val="18"/>
      </w:rPr>
      <w:t>FEnIKS</w:t>
    </w:r>
    <w:proofErr w:type="spellEnd"/>
    <w:r w:rsidR="001816BA" w:rsidRPr="00BC137E">
      <w:rPr>
        <w:rFonts w:ascii="Open Sans" w:hAnsi="Open Sans" w:cs="Open Sans"/>
        <w:sz w:val="18"/>
        <w:szCs w:val="18"/>
      </w:rPr>
      <w:t xml:space="preserve">) </w:t>
    </w:r>
  </w:p>
  <w:p w14:paraId="561B88F4" w14:textId="77121422" w:rsidR="00975DA3" w:rsidRPr="00BC137E" w:rsidRDefault="001816BA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sz w:val="18"/>
        <w:szCs w:val="18"/>
      </w:rPr>
      <w:t xml:space="preserve">Część </w:t>
    </w:r>
    <w:r w:rsidR="0004619B">
      <w:rPr>
        <w:rFonts w:ascii="Open Sans" w:hAnsi="Open Sans" w:cs="Open Sans"/>
        <w:sz w:val="18"/>
        <w:szCs w:val="18"/>
      </w:rPr>
      <w:t>5</w:t>
    </w:r>
    <w:r w:rsidRPr="00BC137E">
      <w:rPr>
        <w:rFonts w:ascii="Open Sans" w:hAnsi="Open Sans" w:cs="Open Sans"/>
        <w:sz w:val="18"/>
        <w:szCs w:val="18"/>
      </w:rPr>
      <w:t xml:space="preserve">) </w:t>
    </w:r>
    <w:r w:rsidR="0004619B">
      <w:rPr>
        <w:rFonts w:ascii="Open Sans" w:hAnsi="Open Sans" w:cs="Open Sans"/>
        <w:sz w:val="18"/>
        <w:szCs w:val="18"/>
      </w:rPr>
      <w:t>Źródła wysokosprawnej kogeneracji</w:t>
    </w:r>
    <w:r w:rsidR="00975DA3" w:rsidRPr="00BC137E">
      <w:rPr>
        <w:rFonts w:ascii="Open Sans" w:hAnsi="Open Sans" w:cs="Open Sans"/>
        <w:sz w:val="18"/>
        <w:szCs w:val="18"/>
      </w:rPr>
      <w:t xml:space="preserve"> </w:t>
    </w:r>
  </w:p>
  <w:p w14:paraId="7961D58C" w14:textId="0E38FEE7" w:rsidR="00975DA3" w:rsidRPr="00D460FB" w:rsidRDefault="00975DA3" w:rsidP="00D460FB">
    <w:pPr>
      <w:pStyle w:val="Nagwek1"/>
      <w:rPr>
        <w:rFonts w:ascii="Open Sans" w:hAnsi="Open Sans" w:cs="Open Sans"/>
        <w:color w:val="000000" w:themeColor="text1"/>
        <w:sz w:val="18"/>
        <w:szCs w:val="18"/>
      </w:rPr>
    </w:pPr>
    <w:r w:rsidRPr="00D460FB">
      <w:rPr>
        <w:rFonts w:ascii="Open Sans" w:hAnsi="Open Sans" w:cs="Open Sans"/>
        <w:color w:val="000000" w:themeColor="text1"/>
        <w:sz w:val="18"/>
        <w:szCs w:val="18"/>
      </w:rPr>
      <w:t xml:space="preserve">Załącznik </w:t>
    </w:r>
    <w:r w:rsidR="00BF6CCD" w:rsidRPr="00D460FB">
      <w:rPr>
        <w:rFonts w:ascii="Open Sans" w:hAnsi="Open Sans" w:cs="Open Sans"/>
        <w:color w:val="000000" w:themeColor="text1"/>
        <w:sz w:val="18"/>
        <w:szCs w:val="18"/>
      </w:rPr>
      <w:t>3</w:t>
    </w:r>
    <w:r w:rsidR="00F43A1A" w:rsidRPr="00D460FB">
      <w:rPr>
        <w:rFonts w:ascii="Open Sans" w:hAnsi="Open Sans" w:cs="Open Sans"/>
        <w:color w:val="000000" w:themeColor="text1"/>
        <w:sz w:val="18"/>
        <w:szCs w:val="18"/>
      </w:rPr>
      <w:t>0</w:t>
    </w:r>
    <w:r w:rsidRPr="00D460FB">
      <w:rPr>
        <w:rFonts w:ascii="Open Sans" w:hAnsi="Open Sans" w:cs="Open Sans"/>
        <w:color w:val="000000" w:themeColor="text1"/>
        <w:sz w:val="18"/>
        <w:szCs w:val="18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29711014">
    <w:abstractNumId w:val="1"/>
  </w:num>
  <w:num w:numId="2" w16cid:durableId="118471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4619B"/>
    <w:rsid w:val="001201EF"/>
    <w:rsid w:val="00150DEA"/>
    <w:rsid w:val="001816BA"/>
    <w:rsid w:val="00314595"/>
    <w:rsid w:val="00347DD5"/>
    <w:rsid w:val="0036239B"/>
    <w:rsid w:val="004240B4"/>
    <w:rsid w:val="0051399E"/>
    <w:rsid w:val="00846222"/>
    <w:rsid w:val="00895016"/>
    <w:rsid w:val="00924C65"/>
    <w:rsid w:val="00975DA3"/>
    <w:rsid w:val="00A57174"/>
    <w:rsid w:val="00BC137E"/>
    <w:rsid w:val="00BE6B08"/>
    <w:rsid w:val="00BF6CCD"/>
    <w:rsid w:val="00C37594"/>
    <w:rsid w:val="00CB5C35"/>
    <w:rsid w:val="00D118CF"/>
    <w:rsid w:val="00D45953"/>
    <w:rsid w:val="00D460FB"/>
    <w:rsid w:val="00E15573"/>
    <w:rsid w:val="00E35B9B"/>
    <w:rsid w:val="00E367E6"/>
    <w:rsid w:val="00E45E6E"/>
    <w:rsid w:val="00F4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EAE9D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60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  <w:style w:type="paragraph" w:styleId="Poprawka">
    <w:name w:val="Revision"/>
    <w:hidden/>
    <w:uiPriority w:val="99"/>
    <w:semiHidden/>
    <w:rsid w:val="0004619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19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460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503A7-D718-4586-8347-B5CE265C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trwałość</vt:lpstr>
    </vt:vector>
  </TitlesOfParts>
  <Company>NFOSiGW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trwałość</dc:title>
  <dc:subject/>
  <dc:creator>Misiurek Magdalena</dc:creator>
  <cp:keywords/>
  <dc:description/>
  <cp:lastModifiedBy>Cendrowska Anna</cp:lastModifiedBy>
  <cp:revision>22</cp:revision>
  <dcterms:created xsi:type="dcterms:W3CDTF">2017-02-03T12:06:00Z</dcterms:created>
  <dcterms:modified xsi:type="dcterms:W3CDTF">2025-11-19T22:30:00Z</dcterms:modified>
</cp:coreProperties>
</file>